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3"/>
        <w:rPr>
          <w:rFonts w:hint="default" w:eastAsia="宋体"/>
          <w:b/>
          <w:sz w:val="24"/>
          <w:lang w:val="en-US" w:eastAsia="zh-CN"/>
        </w:rPr>
      </w:pPr>
      <w:r>
        <w:rPr>
          <w:b/>
          <w:sz w:val="24"/>
        </w:rPr>
        <w:t>3GPP TSG-RAN WG2 Meeting #1</w:t>
      </w:r>
      <w:r>
        <w:rPr>
          <w:b/>
          <w:sz w:val="24"/>
          <w:lang w:val="en-US"/>
        </w:rPr>
        <w:t>1</w:t>
      </w:r>
      <w:r>
        <w:rPr>
          <w:rFonts w:hint="eastAsia" w:eastAsia="宋体"/>
          <w:b/>
          <w:sz w:val="24"/>
          <w:lang w:val="en-US" w:eastAsia="zh-CN"/>
        </w:rPr>
        <w:t>2</w:t>
      </w:r>
      <w:r>
        <w:rPr>
          <w:b/>
          <w:sz w:val="24"/>
        </w:rPr>
        <w:t xml:space="preserve"> electronic</w:t>
      </w:r>
      <w:r>
        <w:rPr>
          <w:b/>
          <w:sz w:val="24"/>
        </w:rPr>
        <w:tab/>
      </w:r>
      <w:r>
        <w:rPr>
          <w:b/>
          <w:sz w:val="24"/>
        </w:rPr>
        <w:tab/>
      </w:r>
      <w:r>
        <w:rPr>
          <w:b/>
          <w:sz w:val="24"/>
          <w:lang w:val="en-US"/>
        </w:rPr>
        <w:tab/>
      </w:r>
      <w:r>
        <w:rPr>
          <w:b/>
          <w:sz w:val="24"/>
          <w:lang w:val="en-US"/>
        </w:rPr>
        <w:tab/>
      </w:r>
      <w:r>
        <w:rPr>
          <w:rFonts w:hint="eastAsia" w:eastAsia="宋体"/>
          <w:b/>
          <w:sz w:val="24"/>
          <w:lang w:val="en-US" w:eastAsia="zh-CN"/>
        </w:rPr>
        <w:t xml:space="preserve">              </w:t>
      </w:r>
      <w:r>
        <w:rPr>
          <w:b/>
          <w:sz w:val="24"/>
        </w:rPr>
        <w:t>R2-200</w:t>
      </w:r>
      <w:r>
        <w:rPr>
          <w:rFonts w:hint="eastAsia" w:eastAsia="宋体"/>
          <w:b/>
          <w:sz w:val="24"/>
          <w:lang w:val="en-US" w:eastAsia="zh-CN"/>
        </w:rPr>
        <w:t>9379</w:t>
      </w:r>
    </w:p>
    <w:p>
      <w:pPr>
        <w:pStyle w:val="283"/>
        <w:rPr>
          <w:rFonts w:cs="黑体"/>
          <w:b/>
          <w:sz w:val="24"/>
          <w:szCs w:val="24"/>
        </w:rPr>
      </w:pPr>
      <w:r>
        <w:rPr>
          <w:rFonts w:hint="eastAsia" w:eastAsia="宋体"/>
          <w:b/>
          <w:sz w:val="24"/>
          <w:lang w:val="en-US" w:eastAsia="zh-CN"/>
        </w:rPr>
        <w:t>Online</w:t>
      </w:r>
      <w:r>
        <w:rPr>
          <w:b/>
          <w:sz w:val="24"/>
        </w:rPr>
        <w:t xml:space="preserve">, </w:t>
      </w:r>
      <w:r>
        <w:rPr>
          <w:rFonts w:hint="eastAsia" w:eastAsia="宋体"/>
          <w:b/>
          <w:sz w:val="24"/>
          <w:lang w:val="en-US" w:eastAsia="zh-CN"/>
        </w:rPr>
        <w:t>November 2</w:t>
      </w:r>
      <w:r>
        <w:rPr>
          <w:rFonts w:hint="eastAsia" w:eastAsia="宋体"/>
          <w:b/>
          <w:sz w:val="24"/>
          <w:vertAlign w:val="superscript"/>
          <w:lang w:val="en-US" w:eastAsia="zh-CN"/>
        </w:rPr>
        <w:t>nd</w:t>
      </w:r>
      <w:r>
        <w:rPr>
          <w:rFonts w:hint="eastAsia" w:eastAsia="宋体"/>
          <w:b/>
          <w:sz w:val="24"/>
          <w:lang w:val="en-US" w:eastAsia="zh-CN"/>
        </w:rPr>
        <w:t xml:space="preserve"> - 13</w:t>
      </w:r>
      <w:r>
        <w:rPr>
          <w:rFonts w:hint="eastAsia" w:eastAsia="宋体"/>
          <w:b/>
          <w:sz w:val="24"/>
          <w:vertAlign w:val="superscript"/>
          <w:lang w:val="en-US" w:eastAsia="zh-CN"/>
        </w:rPr>
        <w:t>th</w:t>
      </w:r>
      <w:r>
        <w:rPr>
          <w:rFonts w:hint="eastAsia" w:eastAsia="宋体"/>
          <w:b/>
          <w:sz w:val="24"/>
          <w:vertAlign w:val="baseline"/>
          <w:lang w:val="en-US" w:eastAsia="zh-CN"/>
        </w:rPr>
        <w:t>,</w:t>
      </w:r>
      <w:r>
        <w:rPr>
          <w:b/>
          <w:sz w:val="24"/>
          <w:lang w:val="en-US"/>
        </w:rPr>
        <w:t xml:space="preserve"> </w:t>
      </w:r>
      <w:r>
        <w:rPr>
          <w:b/>
          <w:sz w:val="24"/>
        </w:rPr>
        <w:t>2020</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Discussion on conditional PSCell addition/change</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8.2.3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hint="eastAsia" w:ascii="Times New Roman" w:hAnsi="Times New Roman" w:cs="Times New Roman"/>
          <w:lang w:val="en-US" w:eastAsia="zh-CN"/>
        </w:rPr>
      </w:pPr>
      <w:bookmarkStart w:id="2" w:name="OLE_LINK1"/>
      <w:r>
        <w:rPr>
          <w:rFonts w:hint="eastAsia" w:ascii="Times New Roman" w:hAnsi="Times New Roman" w:cs="Times New Roman"/>
          <w:lang w:val="en-US" w:eastAsia="zh-CN"/>
        </w:rPr>
        <w:t>In RAN2#111e, the discussions on Conditional PSCell Addition and Change (CPAC) were started for Rel-17. And the following initial agreements were made [1].</w:t>
      </w:r>
    </w:p>
    <w:p>
      <w:pPr>
        <w:numPr>
          <w:ilvl w:val="0"/>
          <w:numId w:val="4"/>
        </w:numPr>
        <w:spacing w:before="60" w:after="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R2 assumes that the work Will follow what is in the WID, and initially focus on CPA and Inter-SN CPC</w:t>
      </w:r>
    </w:p>
    <w:p>
      <w:pPr>
        <w:numPr>
          <w:ilvl w:val="0"/>
          <w:numId w:val="4"/>
        </w:numPr>
        <w:spacing w:before="60" w:after="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R2 assumes for now that LTE SCG is not included. </w:t>
      </w:r>
    </w:p>
    <w:p>
      <w:pPr>
        <w:spacing w:before="120" w:after="0"/>
        <w:rPr>
          <w:rFonts w:hint="default" w:ascii="Times New Roman" w:hAnsi="Times New Roman" w:cs="Times New Roman"/>
          <w:lang w:val="en-US" w:eastAsia="zh-CN"/>
        </w:rPr>
      </w:pPr>
      <w:r>
        <w:rPr>
          <w:rFonts w:hint="eastAsia" w:ascii="Times New Roman" w:hAnsi="Times New Roman" w:cs="Times New Roman"/>
          <w:lang w:val="en-US" w:eastAsia="zh-CN"/>
        </w:rPr>
        <w:t xml:space="preserve">In </w:t>
      </w:r>
      <w:r>
        <w:rPr>
          <w:rFonts w:hint="eastAsia" w:cs="Times New Roman"/>
          <w:lang w:val="en-US" w:eastAsia="zh-CN"/>
        </w:rPr>
        <w:t xml:space="preserve">the </w:t>
      </w:r>
      <w:r>
        <w:rPr>
          <w:rFonts w:hint="eastAsia" w:ascii="Times New Roman" w:hAnsi="Times New Roman" w:cs="Times New Roman"/>
          <w:lang w:val="en-US" w:eastAsia="zh-CN"/>
        </w:rPr>
        <w:t>email discussion [Post111-e][920][eDCCA] [2], some general procedures on CPA and inter-SN CPC were discussed</w:t>
      </w:r>
      <w:r>
        <w:rPr>
          <w:rFonts w:hint="eastAsia" w:cs="Times New Roman"/>
          <w:lang w:val="en-US" w:eastAsia="zh-CN"/>
        </w:rPr>
        <w:t>, e.g the structure of final RRC message, the RRC complete message, execution conditions, etc</w:t>
      </w:r>
      <w:r>
        <w:rPr>
          <w:rFonts w:hint="eastAsia" w:ascii="Times New Roman" w:hAnsi="Times New Roman" w:cs="Times New Roman"/>
          <w:lang w:val="en-US" w:eastAsia="zh-CN"/>
        </w:rPr>
        <w:t xml:space="preserve">. In this contribution, we discussed some open issues on CPA and inter-SN CPC.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pStyle w:val="4"/>
        <w:ind w:left="0" w:leftChars="0" w:firstLine="0" w:firstLineChars="0"/>
        <w:jc w:val="both"/>
        <w:rPr>
          <w:rFonts w:hint="eastAsia" w:ascii="Times New Roman" w:hAnsi="Times New Roman" w:cs="Times New Roman" w:eastAsiaTheme="minorEastAsia"/>
          <w:b w:val="0"/>
          <w:bCs/>
          <w:i w:val="0"/>
          <w:iCs/>
          <w:kern w:val="2"/>
          <w:sz w:val="21"/>
          <w:szCs w:val="24"/>
          <w:lang w:val="en-US" w:eastAsia="zh-CN" w:bidi="ar-SA"/>
        </w:rPr>
      </w:pPr>
      <w:r>
        <w:rPr>
          <w:rFonts w:hint="eastAsia" w:ascii="Times New Roman" w:hAnsi="Times New Roman" w:cs="Times New Roman" w:eastAsiaTheme="minorEastAsia"/>
          <w:b w:val="0"/>
          <w:bCs/>
          <w:i w:val="0"/>
          <w:iCs/>
          <w:kern w:val="2"/>
          <w:sz w:val="21"/>
          <w:szCs w:val="24"/>
          <w:lang w:val="en-US" w:eastAsia="zh-CN" w:bidi="ar-SA"/>
        </w:rPr>
        <w:t>In the email discussion [Post111-e][920]</w:t>
      </w:r>
      <w:r>
        <w:rPr>
          <w:rFonts w:hint="eastAsia" w:ascii="Times New Roman" w:hAnsi="Times New Roman" w:cs="Times New Roman"/>
          <w:lang w:val="en-US" w:eastAsia="zh-CN"/>
        </w:rPr>
        <w:t>[eDCCA]</w:t>
      </w:r>
      <w:r>
        <w:rPr>
          <w:rFonts w:hint="eastAsia" w:ascii="Times New Roman" w:hAnsi="Times New Roman" w:cs="Times New Roman" w:eastAsiaTheme="minorEastAsia"/>
          <w:b w:val="0"/>
          <w:bCs/>
          <w:i w:val="0"/>
          <w:iCs/>
          <w:kern w:val="2"/>
          <w:sz w:val="21"/>
          <w:szCs w:val="24"/>
          <w:lang w:val="en-US" w:eastAsia="zh-CN" w:bidi="ar-SA"/>
        </w:rPr>
        <w:t xml:space="preserve">, we discussed how to generate and transmit the final RRC message to the UE in case of CPA and inter-SN CPC, respectively. For CPA and MN initiated inter-SN CPC, the majority agreed that the MN generates and transmits the final RRC message with encapsulated candidate PSCell configuration to the UE. However, for SN initiated inter-SN CPC, since the final RRC message including candidate PSCell configuration and execution conditions is involved with both the MN and the source/target SN, there is no consensus has been reached on how to generate and transmit the final RRC message. </w:t>
      </w:r>
    </w:p>
    <w:p>
      <w:pPr>
        <w:pStyle w:val="4"/>
        <w:ind w:left="0" w:leftChars="0" w:firstLine="0" w:firstLineChars="0"/>
        <w:jc w:val="both"/>
        <w:rPr>
          <w:rFonts w:hint="eastAsia" w:ascii="Times New Roman" w:hAnsi="Times New Roman" w:cs="Times New Roman" w:eastAsiaTheme="minorEastAsia"/>
          <w:b w:val="0"/>
          <w:bCs/>
          <w:i w:val="0"/>
          <w:iCs/>
          <w:kern w:val="2"/>
          <w:sz w:val="21"/>
          <w:szCs w:val="24"/>
          <w:lang w:val="en-US" w:eastAsia="zh-CN" w:bidi="ar-SA"/>
        </w:rPr>
      </w:pPr>
      <w:r>
        <w:rPr>
          <w:rFonts w:hint="eastAsia" w:ascii="Times New Roman" w:hAnsi="Times New Roman" w:cs="Times New Roman" w:eastAsiaTheme="minorEastAsia"/>
          <w:b w:val="0"/>
          <w:bCs/>
          <w:i w:val="0"/>
          <w:iCs/>
          <w:kern w:val="2"/>
          <w:sz w:val="21"/>
          <w:szCs w:val="24"/>
          <w:lang w:val="en-US" w:eastAsia="zh-CN" w:bidi="ar-SA"/>
        </w:rPr>
        <w:t xml:space="preserve">In our view, for both CPA and inter-SN CPC, the PSCell addition/change may impact the configuration on MN side as well (e.g. DRB level configuration, and corresponding cell group level configuration, including the reconfiguration for the purpose of capability coordination). To ensure the simultaneous activation of new configuration from both the MN side and the SN side upon execution of CPAC, the configuration for both the MN and the SN shall be delivered to the UE together as a single candidate configuration. And the candidate configuration for PSCell addition/change can be configured by a RRC reconfiguration message container generated by the MN, in which both the configuration generated by the MN and the configuration generated by the SN will be included. </w:t>
      </w:r>
    </w:p>
    <w:p>
      <w:pPr>
        <w:rPr>
          <w:rFonts w:hint="eastAsia" w:ascii="Times New Roman" w:hAnsi="Times New Roman" w:cs="Times New Roman" w:eastAsiaTheme="minorEastAsia"/>
          <w:b w:val="0"/>
          <w:bCs/>
          <w:i w:val="0"/>
          <w:iCs/>
          <w:kern w:val="2"/>
          <w:sz w:val="21"/>
          <w:szCs w:val="24"/>
          <w:lang w:val="en-US" w:eastAsia="zh-CN" w:bidi="ar-SA"/>
        </w:rPr>
      </w:pPr>
      <w:r>
        <w:rPr>
          <w:rFonts w:hint="eastAsia"/>
          <w:b/>
          <w:bCs/>
          <w:i/>
          <w:iCs/>
        </w:rPr>
        <w:t xml:space="preserve">Observation 1: For </w:t>
      </w:r>
      <w:r>
        <w:rPr>
          <w:rFonts w:hint="eastAsia"/>
          <w:b/>
          <w:bCs/>
          <w:i/>
          <w:iCs/>
          <w:lang w:val="en-US" w:eastAsia="zh-CN"/>
        </w:rPr>
        <w:t>CPA and inter-SN CPC</w:t>
      </w:r>
      <w:r>
        <w:rPr>
          <w:rFonts w:hint="eastAsia"/>
          <w:b/>
          <w:bCs/>
          <w:i/>
          <w:iCs/>
        </w:rPr>
        <w:t xml:space="preserve">, since both the new configuration on </w:t>
      </w:r>
      <w:r>
        <w:rPr>
          <w:rFonts w:hint="eastAsia"/>
          <w:b/>
          <w:bCs/>
          <w:i/>
          <w:iCs/>
          <w:lang w:val="en-US" w:eastAsia="zh-CN"/>
        </w:rPr>
        <w:t xml:space="preserve">the </w:t>
      </w:r>
      <w:r>
        <w:rPr>
          <w:rFonts w:hint="eastAsia"/>
          <w:b/>
          <w:bCs/>
          <w:i/>
          <w:iCs/>
        </w:rPr>
        <w:t xml:space="preserve">MN and </w:t>
      </w:r>
      <w:r>
        <w:rPr>
          <w:rFonts w:hint="eastAsia"/>
          <w:b/>
          <w:bCs/>
          <w:i/>
          <w:iCs/>
          <w:lang w:val="en-US" w:eastAsia="zh-CN"/>
        </w:rPr>
        <w:t xml:space="preserve">the </w:t>
      </w:r>
      <w:r>
        <w:rPr>
          <w:rFonts w:hint="eastAsia"/>
          <w:b/>
          <w:bCs/>
          <w:i/>
          <w:iCs/>
        </w:rPr>
        <w:t xml:space="preserve">SN are required, to ensure the simultaneous activation of configuration </w:t>
      </w:r>
      <w:r>
        <w:rPr>
          <w:rFonts w:hint="eastAsia"/>
          <w:b/>
          <w:bCs/>
          <w:i/>
          <w:iCs/>
          <w:lang w:val="en-US" w:eastAsia="zh-CN"/>
        </w:rPr>
        <w:t>from</w:t>
      </w:r>
      <w:r>
        <w:rPr>
          <w:rFonts w:hint="eastAsia"/>
          <w:b/>
          <w:bCs/>
          <w:i/>
          <w:iCs/>
        </w:rPr>
        <w:t xml:space="preserve"> both </w:t>
      </w:r>
      <w:r>
        <w:rPr>
          <w:rFonts w:hint="eastAsia"/>
          <w:b/>
          <w:bCs/>
          <w:i/>
          <w:iCs/>
          <w:lang w:val="en-US" w:eastAsia="zh-CN"/>
        </w:rPr>
        <w:t xml:space="preserve">the </w:t>
      </w:r>
      <w:r>
        <w:rPr>
          <w:rFonts w:hint="eastAsia"/>
          <w:b/>
          <w:bCs/>
          <w:i/>
          <w:iCs/>
        </w:rPr>
        <w:t xml:space="preserve">MN and </w:t>
      </w:r>
      <w:r>
        <w:rPr>
          <w:rFonts w:hint="eastAsia"/>
          <w:b/>
          <w:bCs/>
          <w:i/>
          <w:iCs/>
          <w:lang w:val="en-US" w:eastAsia="zh-CN"/>
        </w:rPr>
        <w:t xml:space="preserve">the </w:t>
      </w:r>
      <w:r>
        <w:rPr>
          <w:rFonts w:hint="eastAsia"/>
          <w:b/>
          <w:bCs/>
          <w:i/>
          <w:iCs/>
        </w:rPr>
        <w:t>SN, the target RRC reconfiguration container for PSCell addition</w:t>
      </w:r>
      <w:r>
        <w:rPr>
          <w:rFonts w:hint="eastAsia"/>
          <w:b/>
          <w:bCs/>
          <w:i/>
          <w:iCs/>
          <w:lang w:val="en-US" w:eastAsia="zh-CN"/>
        </w:rPr>
        <w:t>/change</w:t>
      </w:r>
      <w:r>
        <w:rPr>
          <w:rFonts w:hint="eastAsia"/>
          <w:b/>
          <w:bCs/>
          <w:i/>
          <w:iCs/>
        </w:rPr>
        <w:t xml:space="preserve"> shall be generated by </w:t>
      </w:r>
      <w:r>
        <w:rPr>
          <w:rFonts w:hint="eastAsia"/>
          <w:b/>
          <w:bCs/>
          <w:i/>
          <w:iCs/>
          <w:lang w:val="en-US" w:eastAsia="zh-CN"/>
        </w:rPr>
        <w:t xml:space="preserve">the </w:t>
      </w:r>
      <w:r>
        <w:rPr>
          <w:rFonts w:hint="eastAsia"/>
          <w:b/>
          <w:bCs/>
          <w:i/>
          <w:iCs/>
        </w:rPr>
        <w:t xml:space="preserve">MN, in which both the configuration generated by MN and </w:t>
      </w:r>
      <w:r>
        <w:rPr>
          <w:rFonts w:hint="eastAsia"/>
          <w:b/>
          <w:bCs/>
          <w:i/>
          <w:iCs/>
          <w:lang w:val="en-US" w:eastAsia="zh-CN"/>
        </w:rPr>
        <w:t xml:space="preserve">the </w:t>
      </w:r>
      <w:r>
        <w:rPr>
          <w:rFonts w:hint="eastAsia"/>
          <w:b/>
          <w:bCs/>
          <w:i/>
          <w:iCs/>
        </w:rPr>
        <w:t>configuration generated by SN will be included.</w:t>
      </w:r>
    </w:p>
    <w:p>
      <w:pPr>
        <w:pStyle w:val="4"/>
        <w:ind w:left="0" w:leftChars="0" w:firstLine="0" w:firstLineChars="0"/>
        <w:jc w:val="both"/>
        <w:rPr>
          <w:rFonts w:hint="default" w:ascii="Times New Roman" w:hAnsi="Times New Roman" w:cs="Times New Roman"/>
          <w:lang w:val="en-US" w:eastAsia="zh-CN"/>
        </w:rPr>
      </w:pPr>
      <w:r>
        <w:rPr>
          <w:rFonts w:hint="default" w:ascii="Times New Roman" w:hAnsi="Times New Roman" w:cs="Times New Roman" w:eastAsiaTheme="minorEastAsia"/>
          <w:b w:val="0"/>
          <w:bCs/>
          <w:i w:val="0"/>
          <w:iCs/>
          <w:kern w:val="2"/>
          <w:sz w:val="21"/>
          <w:szCs w:val="24"/>
          <w:lang w:val="en-US" w:eastAsia="zh-CN" w:bidi="ar-SA"/>
        </w:rPr>
        <w:t xml:space="preserve">Thus, we can have a common solution for both CPA and inter-SN CPC, i.e. the MN generates and transmits the final </w:t>
      </w:r>
      <w:r>
        <w:rPr>
          <w:rFonts w:hint="eastAsia" w:ascii="Times New Roman" w:hAnsi="Times New Roman" w:cs="Times New Roman" w:eastAsiaTheme="minorEastAsia"/>
          <w:b w:val="0"/>
          <w:bCs/>
          <w:i w:val="0"/>
          <w:iCs/>
          <w:kern w:val="2"/>
          <w:sz w:val="21"/>
          <w:szCs w:val="24"/>
          <w:lang w:val="en-US" w:eastAsia="zh-CN" w:bidi="ar-SA"/>
        </w:rPr>
        <w:t xml:space="preserve">RRC reconfiguration </w:t>
      </w:r>
      <w:r>
        <w:rPr>
          <w:rFonts w:hint="default" w:ascii="Times New Roman" w:hAnsi="Times New Roman" w:cs="Times New Roman" w:eastAsiaTheme="minorEastAsia"/>
          <w:b w:val="0"/>
          <w:bCs/>
          <w:i w:val="0"/>
          <w:iCs/>
          <w:kern w:val="2"/>
          <w:sz w:val="21"/>
          <w:szCs w:val="24"/>
          <w:lang w:val="en-US" w:eastAsia="zh-CN" w:bidi="ar-SA"/>
        </w:rPr>
        <w:t xml:space="preserve">message to the UE, which includes the execution condition generated by the MN or the </w:t>
      </w:r>
      <w:r>
        <w:rPr>
          <w:rFonts w:hint="eastAsia" w:ascii="Times New Roman" w:hAnsi="Times New Roman" w:cs="Times New Roman" w:eastAsiaTheme="minorEastAsia"/>
          <w:b w:val="0"/>
          <w:bCs/>
          <w:i w:val="0"/>
          <w:iCs/>
          <w:kern w:val="2"/>
          <w:sz w:val="21"/>
          <w:szCs w:val="24"/>
          <w:lang w:val="en-US" w:eastAsia="zh-CN" w:bidi="ar-SA"/>
        </w:rPr>
        <w:t xml:space="preserve">source </w:t>
      </w:r>
      <w:r>
        <w:rPr>
          <w:rFonts w:hint="default" w:ascii="Times New Roman" w:hAnsi="Times New Roman" w:cs="Times New Roman" w:eastAsiaTheme="minorEastAsia"/>
          <w:b w:val="0"/>
          <w:bCs/>
          <w:i w:val="0"/>
          <w:iCs/>
          <w:kern w:val="2"/>
          <w:sz w:val="21"/>
          <w:szCs w:val="24"/>
          <w:lang w:val="en-US" w:eastAsia="zh-CN" w:bidi="ar-SA"/>
        </w:rPr>
        <w:t xml:space="preserve">SN, and encapsulates each candidate PSCell </w:t>
      </w:r>
      <w:r>
        <w:rPr>
          <w:rFonts w:hint="eastAsia" w:ascii="Times New Roman" w:hAnsi="Times New Roman" w:cs="Times New Roman" w:eastAsiaTheme="minorEastAsia"/>
          <w:b w:val="0"/>
          <w:bCs/>
          <w:i w:val="0"/>
          <w:iCs/>
          <w:kern w:val="2"/>
          <w:sz w:val="21"/>
          <w:szCs w:val="24"/>
          <w:lang w:val="en-US" w:eastAsia="zh-CN" w:bidi="ar-SA"/>
        </w:rPr>
        <w:t>configuration</w:t>
      </w:r>
      <w:r>
        <w:rPr>
          <w:rFonts w:hint="default" w:ascii="Times New Roman" w:hAnsi="Times New Roman" w:cs="Times New Roman" w:eastAsiaTheme="minorEastAsia"/>
          <w:b w:val="0"/>
          <w:bCs/>
          <w:i w:val="0"/>
          <w:iCs/>
          <w:kern w:val="2"/>
          <w:sz w:val="21"/>
          <w:szCs w:val="24"/>
          <w:lang w:val="en-US" w:eastAsia="zh-CN" w:bidi="ar-SA"/>
        </w:rPr>
        <w:t xml:space="preserve"> </w:t>
      </w:r>
      <w:r>
        <w:rPr>
          <w:rFonts w:hint="eastAsia" w:ascii="Times New Roman" w:hAnsi="Times New Roman" w:cs="Times New Roman" w:eastAsiaTheme="minorEastAsia"/>
          <w:b w:val="0"/>
          <w:bCs/>
          <w:i w:val="0"/>
          <w:iCs/>
          <w:kern w:val="2"/>
          <w:sz w:val="21"/>
          <w:szCs w:val="24"/>
          <w:lang w:val="en-US" w:eastAsia="zh-CN" w:bidi="ar-SA"/>
        </w:rPr>
        <w:t>in a conditional reconfiguration container</w:t>
      </w:r>
      <w:r>
        <w:rPr>
          <w:rFonts w:hint="default" w:ascii="Times New Roman" w:hAnsi="Times New Roman" w:cs="Times New Roman" w:eastAsiaTheme="minorEastAsia"/>
          <w:b w:val="0"/>
          <w:bCs/>
          <w:i w:val="0"/>
          <w:iCs/>
          <w:kern w:val="2"/>
          <w:sz w:val="21"/>
          <w:szCs w:val="24"/>
          <w:lang w:val="en-US" w:eastAsia="zh-CN" w:bidi="ar-SA"/>
        </w:rPr>
        <w:t xml:space="preserve">. More specifically, </w:t>
      </w:r>
      <w:r>
        <w:rPr>
          <w:rFonts w:hint="default" w:ascii="Times New Roman" w:hAnsi="Times New Roman" w:cs="Times New Roman"/>
        </w:rPr>
        <w:t xml:space="preserve">each candidate PSCell </w:t>
      </w:r>
      <w:r>
        <w:rPr>
          <w:rFonts w:hint="eastAsia" w:ascii="Times New Roman" w:hAnsi="Times New Roman" w:eastAsia="宋体" w:cs="Times New Roman"/>
          <w:lang w:val="en-US" w:eastAsia="zh-CN"/>
        </w:rPr>
        <w:t>configuration</w:t>
      </w:r>
      <w:r>
        <w:rPr>
          <w:rFonts w:hint="default" w:ascii="Times New Roman" w:hAnsi="Times New Roman" w:cs="Times New Roman"/>
        </w:rPr>
        <w:t xml:space="preserve"> will be configured with a separate RRC container</w:t>
      </w:r>
      <w:r>
        <w:rPr>
          <w:rFonts w:hint="default" w:ascii="Times New Roman" w:hAnsi="Times New Roman" w:eastAsia="宋体" w:cs="Times New Roman"/>
          <w:lang w:val="en-US" w:eastAsia="zh-CN"/>
        </w:rPr>
        <w:t xml:space="preserve"> (i.e. included in </w:t>
      </w:r>
      <w:r>
        <w:rPr>
          <w:rFonts w:hint="default" w:ascii="Times New Roman" w:hAnsi="Times New Roman" w:cs="Times New Roman"/>
          <w:bCs/>
          <w:i/>
          <w:iCs/>
          <w:sz w:val="20"/>
          <w:szCs w:val="20"/>
          <w:lang w:val="en-US" w:eastAsia="zh-CN"/>
        </w:rPr>
        <w:t>condRRCReconfig</w:t>
      </w:r>
      <w:r>
        <w:rPr>
          <w:rFonts w:hint="default" w:ascii="Times New Roman" w:hAnsi="Times New Roman" w:cs="Times New Roman"/>
          <w:bCs/>
          <w:sz w:val="20"/>
          <w:szCs w:val="20"/>
          <w:lang w:val="en-US" w:eastAsia="zh-CN"/>
        </w:rPr>
        <w:t xml:space="preserve">) </w:t>
      </w:r>
      <w:r>
        <w:rPr>
          <w:rFonts w:hint="default" w:ascii="Times New Roman" w:hAnsi="Times New Roman" w:cs="Times New Roman"/>
        </w:rPr>
        <w:t xml:space="preserve">containing </w:t>
      </w:r>
      <w:r>
        <w:rPr>
          <w:rFonts w:hint="default" w:ascii="Times New Roman" w:hAnsi="Times New Roman" w:cs="Times New Roman"/>
          <w:i w:val="0"/>
          <w:iCs w:val="0"/>
        </w:rPr>
        <w:t>RRC</w:t>
      </w:r>
      <w:r>
        <w:rPr>
          <w:rFonts w:hint="default" w:ascii="Times New Roman" w:hAnsi="Times New Roman" w:cs="Times New Roman"/>
          <w:i w:val="0"/>
          <w:iCs w:val="0"/>
          <w:lang w:val="en-US" w:eastAsia="zh-CN"/>
        </w:rPr>
        <w:t xml:space="preserve"> r</w:t>
      </w:r>
      <w:r>
        <w:rPr>
          <w:rFonts w:hint="default" w:ascii="Times New Roman" w:hAnsi="Times New Roman" w:cs="Times New Roman"/>
          <w:i w:val="0"/>
          <w:iCs w:val="0"/>
        </w:rPr>
        <w:t>econfiguration</w:t>
      </w:r>
      <w:r>
        <w:rPr>
          <w:rFonts w:hint="default" w:ascii="Times New Roman" w:hAnsi="Times New Roman" w:cs="Times New Roman"/>
        </w:rPr>
        <w:t xml:space="preserve"> message generated by MN, in which both the configuration from </w:t>
      </w:r>
      <w:r>
        <w:rPr>
          <w:rFonts w:hint="eastAsia" w:ascii="Times New Roman" w:hAnsi="Times New Roman" w:eastAsia="宋体" w:cs="Times New Roman"/>
          <w:lang w:val="en-US" w:eastAsia="zh-CN"/>
        </w:rPr>
        <w:t xml:space="preserve">the </w:t>
      </w:r>
      <w:r>
        <w:rPr>
          <w:rFonts w:hint="default" w:ascii="Times New Roman" w:hAnsi="Times New Roman" w:cs="Times New Roman"/>
        </w:rPr>
        <w:t xml:space="preserve">MN side and the configuration from </w:t>
      </w:r>
      <w:r>
        <w:rPr>
          <w:rFonts w:hint="eastAsia" w:ascii="Times New Roman" w:hAnsi="Times New Roman" w:eastAsia="宋体" w:cs="Times New Roman"/>
          <w:lang w:val="en-US" w:eastAsia="zh-CN"/>
        </w:rPr>
        <w:t xml:space="preserve">the </w:t>
      </w:r>
      <w:r>
        <w:rPr>
          <w:rFonts w:hint="default" w:ascii="Times New Roman" w:hAnsi="Times New Roman" w:cs="Times New Roman"/>
        </w:rPr>
        <w:t>SN side will be included.</w:t>
      </w:r>
      <w:r>
        <w:rPr>
          <w:rFonts w:hint="default" w:ascii="Times New Roman" w:hAnsi="Times New Roman" w:cs="Times New Roman"/>
          <w:lang w:val="en-US" w:eastAsia="zh-CN"/>
        </w:rPr>
        <w:t xml:space="preserve"> And a </w:t>
      </w:r>
      <w:r>
        <w:rPr>
          <w:rFonts w:hint="eastAsia" w:ascii="Times New Roman" w:hAnsi="Times New Roman" w:cs="Times New Roman"/>
          <w:i w:val="0"/>
          <w:iCs w:val="0"/>
          <w:lang w:val="en-US" w:eastAsia="zh-CN"/>
        </w:rPr>
        <w:t>RRC reconfiguration</w:t>
      </w:r>
      <w:r>
        <w:rPr>
          <w:rFonts w:hint="default" w:ascii="Times New Roman" w:hAnsi="Times New Roman" w:cs="Times New Roman"/>
          <w:lang w:val="en-US" w:eastAsia="zh-CN"/>
        </w:rPr>
        <w:t xml:space="preserve"> message generated by </w:t>
      </w:r>
      <w:r>
        <w:rPr>
          <w:rFonts w:hint="eastAsia" w:ascii="Times New Roman" w:hAnsi="Times New Roman" w:cs="Times New Roman"/>
          <w:lang w:val="en-US" w:eastAsia="zh-CN"/>
        </w:rPr>
        <w:t xml:space="preserve">the </w:t>
      </w:r>
      <w:r>
        <w:rPr>
          <w:rFonts w:hint="default" w:ascii="Times New Roman" w:hAnsi="Times New Roman" w:cs="Times New Roman"/>
          <w:lang w:val="en-US" w:eastAsia="zh-CN"/>
        </w:rPr>
        <w:t xml:space="preserve">candidate SN can be encapsulated in </w:t>
      </w:r>
      <w:r>
        <w:rPr>
          <w:rFonts w:hint="default" w:ascii="Times New Roman" w:hAnsi="Times New Roman" w:cs="Times New Roman"/>
          <w:i/>
          <w:iCs/>
          <w:lang w:val="en-US" w:eastAsia="zh-CN"/>
        </w:rPr>
        <w:t>mrdc-SecondaryCellGroup</w:t>
      </w:r>
      <w:r>
        <w:rPr>
          <w:rFonts w:hint="eastAsia" w:ascii="Times New Roman" w:hAnsi="Times New Roman" w:cs="Times New Roman"/>
          <w:i/>
          <w:iCs/>
          <w:lang w:val="en-US" w:eastAsia="zh-CN"/>
        </w:rPr>
        <w:t>/nr-SecondaryCellGroupConfig</w:t>
      </w:r>
      <w:r>
        <w:rPr>
          <w:rFonts w:hint="default" w:ascii="Times New Roman" w:hAnsi="Times New Roman" w:cs="Times New Roman"/>
          <w:i w:val="0"/>
          <w:iCs w:val="0"/>
          <w:lang w:val="en-US" w:eastAsia="zh-CN"/>
        </w:rPr>
        <w:t xml:space="preserve">, which is included in </w:t>
      </w:r>
      <w:r>
        <w:rPr>
          <w:rFonts w:hint="eastAsia" w:ascii="Times New Roman" w:hAnsi="Times New Roman" w:cs="Times New Roman"/>
          <w:i w:val="0"/>
          <w:iCs w:val="0"/>
          <w:lang w:val="en-US" w:eastAsia="zh-CN"/>
        </w:rPr>
        <w:t xml:space="preserve">RRC reconfiguration </w:t>
      </w:r>
      <w:r>
        <w:rPr>
          <w:rFonts w:hint="default" w:ascii="Times New Roman" w:hAnsi="Times New Roman" w:cs="Times New Roman"/>
        </w:rPr>
        <w:t>message generated by MN</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A example of signalling structure</w:t>
      </w:r>
      <w:r>
        <w:rPr>
          <w:rFonts w:hint="eastAsia" w:ascii="Times New Roman" w:hAnsi="Times New Roman" w:cs="Times New Roman"/>
          <w:lang w:val="en-US" w:eastAsia="zh-CN"/>
        </w:rPr>
        <w:t xml:space="preserve"> in NR-DC is shown as follows</w:t>
      </w:r>
      <w:r>
        <w:rPr>
          <w:rFonts w:hint="default" w:ascii="Times New Roman" w:hAnsi="Times New Roman" w:cs="Times New Roman"/>
          <w:lang w:val="en-US" w:eastAsia="zh-CN"/>
        </w:rPr>
        <w:t>:</w:t>
      </w:r>
    </w:p>
    <w:p>
      <w:pPr>
        <w:spacing w:after="144" w:afterLines="60" w:line="240" w:lineRule="auto"/>
        <w:jc w:val="both"/>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 xml:space="preserve">MN </w:t>
      </w:r>
      <w:r>
        <w:rPr>
          <w:rFonts w:hint="default" w:ascii="Times New Roman" w:hAnsi="Times New Roman" w:cs="Times New Roman"/>
          <w:bCs/>
          <w:i/>
          <w:iCs/>
          <w:sz w:val="20"/>
          <w:szCs w:val="20"/>
          <w:lang w:val="en-US" w:eastAsia="zh-CN"/>
        </w:rPr>
        <w:t xml:space="preserve">RRCReconfiguration </w:t>
      </w:r>
      <w:r>
        <w:rPr>
          <w:rFonts w:hint="default" w:ascii="Times New Roman" w:hAnsi="Times New Roman" w:cs="Times New Roman"/>
          <w:bCs/>
          <w:sz w:val="20"/>
          <w:szCs w:val="20"/>
          <w:lang w:val="en-US" w:eastAsia="zh-CN"/>
        </w:rPr>
        <w:t xml:space="preserve">message </w:t>
      </w:r>
    </w:p>
    <w:p>
      <w:pPr>
        <w:spacing w:after="144" w:afterLines="60" w:line="240" w:lineRule="auto"/>
        <w:jc w:val="both"/>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 xml:space="preserve">- &gt; </w:t>
      </w:r>
      <w:r>
        <w:rPr>
          <w:rFonts w:hint="default" w:ascii="Times New Roman" w:hAnsi="Times New Roman" w:cs="Times New Roman"/>
          <w:bCs/>
          <w:i/>
          <w:iCs/>
          <w:sz w:val="20"/>
          <w:szCs w:val="20"/>
          <w:lang w:val="en-US" w:eastAsia="zh-CN"/>
        </w:rPr>
        <w:t>conditionalReconfiguration</w:t>
      </w:r>
    </w:p>
    <w:p>
      <w:pPr>
        <w:spacing w:after="144" w:afterLines="60" w:line="240" w:lineRule="auto"/>
        <w:jc w:val="both"/>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 xml:space="preserve">- - &gt; </w:t>
      </w:r>
      <w:r>
        <w:rPr>
          <w:rFonts w:hint="default" w:ascii="Times New Roman" w:hAnsi="Times New Roman" w:cs="Times New Roman"/>
          <w:bCs/>
          <w:i/>
          <w:iCs/>
          <w:sz w:val="20"/>
          <w:szCs w:val="20"/>
          <w:lang w:val="en-US" w:eastAsia="zh-CN"/>
        </w:rPr>
        <w:t xml:space="preserve">condRRCReconfig </w:t>
      </w:r>
    </w:p>
    <w:p>
      <w:pPr>
        <w:spacing w:after="144" w:afterLines="60" w:line="240" w:lineRule="auto"/>
        <w:ind w:leftChars="100"/>
        <w:jc w:val="both"/>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 xml:space="preserve">- &gt; </w:t>
      </w:r>
      <w:r>
        <w:rPr>
          <w:rFonts w:hint="default" w:ascii="Times New Roman" w:hAnsi="Times New Roman" w:cs="Times New Roman"/>
          <w:bCs/>
          <w:i/>
          <w:iCs/>
          <w:sz w:val="20"/>
          <w:szCs w:val="20"/>
          <w:lang w:val="en-US" w:eastAsia="zh-CN"/>
        </w:rPr>
        <w:t xml:space="preserve">RRCReconfiguration </w:t>
      </w:r>
      <w:r>
        <w:rPr>
          <w:rFonts w:hint="default" w:ascii="Times New Roman" w:hAnsi="Times New Roman" w:cs="Times New Roman"/>
          <w:bCs/>
          <w:sz w:val="20"/>
          <w:szCs w:val="20"/>
          <w:lang w:val="en-US" w:eastAsia="zh-CN"/>
        </w:rPr>
        <w:t xml:space="preserve">generated by MN </w:t>
      </w:r>
    </w:p>
    <w:p>
      <w:pPr>
        <w:spacing w:after="144" w:afterLines="60" w:line="240" w:lineRule="auto"/>
        <w:ind w:leftChars="200"/>
        <w:jc w:val="both"/>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 - &gt; MRDC-</w:t>
      </w:r>
      <w:r>
        <w:rPr>
          <w:rFonts w:hint="default" w:ascii="Times New Roman" w:hAnsi="Times New Roman" w:cs="Times New Roman"/>
          <w:bCs/>
          <w:i/>
          <w:iCs/>
          <w:sz w:val="20"/>
          <w:szCs w:val="20"/>
          <w:lang w:val="en-US" w:eastAsia="zh-CN"/>
        </w:rPr>
        <w:t>SecondaryCellGroupConfig</w:t>
      </w:r>
    </w:p>
    <w:p>
      <w:pPr>
        <w:spacing w:after="144" w:afterLines="60" w:line="240" w:lineRule="auto"/>
        <w:ind w:leftChars="100" w:firstLine="200" w:firstLineChars="100"/>
        <w:jc w:val="both"/>
        <w:rPr>
          <w:rFonts w:hint="default" w:ascii="Times New Roman" w:hAnsi="Times New Roman" w:cs="Times New Roman"/>
          <w:lang w:val="en-US" w:eastAsia="zh-CN"/>
        </w:rPr>
      </w:pPr>
      <w:r>
        <w:rPr>
          <w:rFonts w:hint="default" w:ascii="Times New Roman" w:hAnsi="Times New Roman" w:cs="Times New Roman"/>
          <w:bCs/>
          <w:sz w:val="20"/>
          <w:szCs w:val="20"/>
          <w:lang w:val="en-US" w:eastAsia="zh-CN"/>
        </w:rPr>
        <w:t xml:space="preserve">- - -&gt; </w:t>
      </w:r>
      <w:r>
        <w:rPr>
          <w:rFonts w:hint="default" w:ascii="Times New Roman" w:hAnsi="Times New Roman" w:cs="Times New Roman"/>
          <w:bCs/>
          <w:i/>
          <w:iCs/>
          <w:sz w:val="20"/>
          <w:szCs w:val="20"/>
          <w:lang w:val="en-US" w:eastAsia="zh-CN"/>
        </w:rPr>
        <w:t>nr-SCG</w:t>
      </w:r>
      <w:r>
        <w:rPr>
          <w:rFonts w:hint="default" w:ascii="Times New Roman" w:hAnsi="Times New Roman" w:cs="Times New Roman"/>
          <w:bCs/>
          <w:sz w:val="20"/>
          <w:szCs w:val="20"/>
          <w:lang w:val="en-US" w:eastAsia="zh-CN"/>
        </w:rPr>
        <w:t xml:space="preserve"> (CONTAINING </w:t>
      </w:r>
      <w:r>
        <w:rPr>
          <w:rFonts w:hint="default" w:ascii="Times New Roman" w:hAnsi="Times New Roman" w:cs="Times New Roman"/>
          <w:bCs/>
          <w:i/>
          <w:iCs/>
          <w:sz w:val="20"/>
          <w:szCs w:val="20"/>
          <w:lang w:val="en-US" w:eastAsia="zh-CN"/>
        </w:rPr>
        <w:t xml:space="preserve">RRCReconfiguration </w:t>
      </w:r>
      <w:r>
        <w:rPr>
          <w:rFonts w:hint="default" w:ascii="Times New Roman" w:hAnsi="Times New Roman" w:cs="Times New Roman"/>
          <w:bCs/>
          <w:sz w:val="20"/>
          <w:szCs w:val="20"/>
          <w:lang w:val="en-US" w:eastAsia="zh-CN"/>
        </w:rPr>
        <w:t xml:space="preserve">generated by SN) </w:t>
      </w:r>
    </w:p>
    <w:p>
      <w:pPr>
        <w:rPr>
          <w:rFonts w:hint="default" w:eastAsiaTheme="minorEastAsia"/>
          <w:b/>
          <w:bCs/>
          <w:lang w:val="en-US" w:eastAsia="zh-CN"/>
        </w:rPr>
      </w:pPr>
      <w:r>
        <w:rPr>
          <w:rFonts w:hint="eastAsia"/>
          <w:b/>
          <w:bCs/>
        </w:rPr>
        <w:t xml:space="preserve">Proposal </w:t>
      </w:r>
      <w:r>
        <w:rPr>
          <w:rFonts w:hint="eastAsia"/>
          <w:b/>
          <w:bCs/>
          <w:lang w:val="en-US" w:eastAsia="zh-CN"/>
        </w:rPr>
        <w:t>1</w:t>
      </w:r>
      <w:r>
        <w:rPr>
          <w:rFonts w:hint="eastAsia"/>
          <w:b/>
          <w:bCs/>
        </w:rPr>
        <w:t xml:space="preserve">: </w:t>
      </w:r>
      <w:r>
        <w:rPr>
          <w:rFonts w:hint="eastAsia"/>
          <w:b/>
          <w:bCs/>
          <w:lang w:val="en-US" w:eastAsia="zh-CN"/>
        </w:rPr>
        <w:t>In CPA and inter-SN CPC</w:t>
      </w:r>
      <w:r>
        <w:rPr>
          <w:rFonts w:hint="eastAsia"/>
          <w:b/>
          <w:bCs/>
        </w:rPr>
        <w:t xml:space="preserve">, </w:t>
      </w:r>
      <w:r>
        <w:rPr>
          <w:rFonts w:hint="eastAsia"/>
          <w:b/>
          <w:bCs/>
          <w:lang w:val="en-US" w:eastAsia="zh-CN"/>
        </w:rPr>
        <w:t>the MN generates and transmits the final RRC message to the UE, including execution condition and candidate PSCell configuration. And e</w:t>
      </w:r>
      <w:r>
        <w:rPr>
          <w:rFonts w:hint="eastAsia"/>
          <w:b/>
          <w:bCs/>
        </w:rPr>
        <w:t xml:space="preserve">ach candidate </w:t>
      </w:r>
      <w:r>
        <w:rPr>
          <w:rFonts w:hint="eastAsia"/>
          <w:b/>
          <w:bCs/>
          <w:lang w:val="en-US" w:eastAsia="zh-CN"/>
        </w:rPr>
        <w:t>PSCell configuration from both the MN side and the SN side</w:t>
      </w:r>
      <w:r>
        <w:rPr>
          <w:rFonts w:hint="eastAsia"/>
          <w:b/>
          <w:bCs/>
        </w:rPr>
        <w:t xml:space="preserve"> will be configured with a RRC container</w:t>
      </w:r>
      <w:r>
        <w:rPr>
          <w:rFonts w:hint="eastAsia"/>
          <w:b/>
          <w:bCs/>
          <w:lang w:val="en-US" w:eastAsia="zh-CN"/>
        </w:rPr>
        <w:t xml:space="preserve"> containing RRC reconfiguration message generated by the MN, in which the </w:t>
      </w:r>
      <w:r>
        <w:rPr>
          <w:rFonts w:hint="eastAsia"/>
          <w:b/>
          <w:bCs/>
          <w:i w:val="0"/>
          <w:iCs w:val="0"/>
          <w:lang w:val="en-US" w:eastAsia="zh-CN"/>
        </w:rPr>
        <w:t>RRC reconfiguration</w:t>
      </w:r>
      <w:r>
        <w:rPr>
          <w:rFonts w:hint="eastAsia"/>
          <w:b/>
          <w:bCs/>
          <w:lang w:val="en-US" w:eastAsia="zh-CN"/>
        </w:rPr>
        <w:t xml:space="preserve"> message generated by the candidate SN is encapsulated in a container (e.g. </w:t>
      </w:r>
      <w:r>
        <w:rPr>
          <w:rFonts w:hint="default" w:ascii="Times New Roman" w:hAnsi="Times New Roman" w:cs="Times New Roman"/>
          <w:b/>
          <w:bCs/>
          <w:i/>
          <w:iCs/>
          <w:lang w:val="en-US" w:eastAsia="zh-CN"/>
        </w:rPr>
        <w:t>mrdc-SecondaryCellGroup</w:t>
      </w:r>
      <w:r>
        <w:rPr>
          <w:rFonts w:hint="eastAsia" w:ascii="Times New Roman" w:hAnsi="Times New Roman" w:cs="Times New Roman"/>
          <w:b/>
          <w:bCs/>
          <w:i/>
          <w:iCs/>
          <w:lang w:val="en-US" w:eastAsia="zh-CN"/>
        </w:rPr>
        <w:t>/nr-SecondaryCellGroupConfig</w:t>
      </w:r>
      <w:r>
        <w:rPr>
          <w:rFonts w:hint="eastAsia"/>
          <w:b/>
          <w:bCs/>
          <w:lang w:val="en-US" w:eastAsia="zh-CN"/>
        </w:rPr>
        <w:t>).</w:t>
      </w:r>
    </w:p>
    <w:p>
      <w:pPr>
        <w:widowControl w:val="0"/>
        <w:numPr>
          <w:ilvl w:val="0"/>
          <w:numId w:val="0"/>
        </w:numPr>
        <w:ind w:leftChars="0"/>
        <w:jc w:val="both"/>
        <w:rPr>
          <w:rFonts w:hint="eastAsia"/>
          <w:b w:val="0"/>
          <w:bCs/>
          <w:i w:val="0"/>
          <w:iCs/>
          <w:lang w:val="en-US" w:eastAsia="zh-CN"/>
        </w:rPr>
      </w:pPr>
      <w:r>
        <w:rPr>
          <w:rFonts w:hint="eastAsia"/>
          <w:b w:val="0"/>
          <w:bCs/>
          <w:i w:val="0"/>
          <w:iCs/>
          <w:lang w:val="en-US" w:eastAsia="zh-CN"/>
        </w:rPr>
        <w:t xml:space="preserve">In SN initiated inter-SN CPC, the execution condition is generated by the source SN. If the proposal above is agreed, i.e. the MN generates the final RRC message, the MN or the target SN is not required to comprehend the execution condition set by the source SN. Thus, the source SN can transfer the execution condition to the MN as a transparent container per frequency or per cell. Then the MN includes the execution condition container linked with the corresponding candidate PSCell configuration to the final RRC message and transfers to the UE transparently. Namely, the </w:t>
      </w:r>
      <w:r>
        <w:rPr>
          <w:i/>
          <w:iCs/>
        </w:rPr>
        <w:t>condExecutionCond</w:t>
      </w:r>
      <w:r>
        <w:rPr>
          <w:rFonts w:hint="eastAsia"/>
          <w:i/>
          <w:iCs/>
          <w:lang w:val="en-US" w:eastAsia="zh-CN"/>
        </w:rPr>
        <w:t xml:space="preserve"> </w:t>
      </w:r>
      <w:r>
        <w:rPr>
          <w:rFonts w:hint="eastAsia"/>
          <w:i w:val="0"/>
          <w:iCs w:val="0"/>
          <w:lang w:val="en-US" w:eastAsia="zh-CN"/>
        </w:rPr>
        <w:t xml:space="preserve">can directly </w:t>
      </w:r>
      <w:r>
        <w:rPr>
          <w:rFonts w:hint="eastAsia"/>
          <w:lang w:val="en-US" w:eastAsia="zh-CN"/>
        </w:rPr>
        <w:t xml:space="preserve">include a container containing the </w:t>
      </w:r>
      <w:r>
        <w:rPr>
          <w:rFonts w:hint="eastAsia"/>
          <w:b w:val="0"/>
          <w:bCs/>
          <w:i w:val="0"/>
          <w:iCs/>
          <w:lang w:val="en-US" w:eastAsia="zh-CN"/>
        </w:rPr>
        <w:t>execution condition set by the source SN, instead of measurement ID.</w:t>
      </w:r>
    </w:p>
    <w:p>
      <w:pPr>
        <w:widowControl w:val="0"/>
        <w:numPr>
          <w:ilvl w:val="0"/>
          <w:numId w:val="0"/>
        </w:numPr>
        <w:ind w:leftChars="0"/>
        <w:jc w:val="both"/>
        <w:rPr>
          <w:rFonts w:hint="eastAsia"/>
          <w:b/>
          <w:bCs w:val="0"/>
          <w:i w:val="0"/>
          <w:iCs/>
          <w:lang w:val="en-US" w:eastAsia="zh-CN"/>
        </w:rPr>
      </w:pPr>
      <w:r>
        <w:rPr>
          <w:rFonts w:hint="eastAsia"/>
          <w:b/>
          <w:bCs w:val="0"/>
          <w:i w:val="0"/>
          <w:iCs/>
          <w:lang w:val="en-US" w:eastAsia="zh-CN"/>
        </w:rPr>
        <w:t>Proposal 2: In SN initiated inter-SN CPC, for each candidate PSCell, the MN includes the corresponding execution condition set by the source SN as a transparent container into the final RRC message.</w:t>
      </w:r>
    </w:p>
    <w:p>
      <w:pPr>
        <w:widowControl w:val="0"/>
        <w:numPr>
          <w:ilvl w:val="0"/>
          <w:numId w:val="0"/>
        </w:numPr>
        <w:ind w:leftChars="0"/>
        <w:jc w:val="both"/>
        <w:rPr>
          <w:rFonts w:hint="default"/>
          <w:b w:val="0"/>
          <w:bCs/>
          <w:i w:val="0"/>
          <w:iCs/>
          <w:lang w:val="en-US" w:eastAsia="zh-CN"/>
        </w:rPr>
      </w:pPr>
      <w:r>
        <w:rPr>
          <w:rFonts w:hint="eastAsia"/>
          <w:b w:val="0"/>
          <w:bCs/>
          <w:i w:val="0"/>
          <w:iCs/>
          <w:lang w:val="en-US" w:eastAsia="zh-CN"/>
        </w:rPr>
        <w:t xml:space="preserve">In CPA and inter-SN CPC, in case the MN generates and transmits the final RRC message to the UE, upon reception of RRC reconfiguration message including CPAC configuration, the UE shall reply the </w:t>
      </w:r>
      <w:r>
        <w:rPr>
          <w:rFonts w:hint="eastAsia" w:cs="Times New Roman"/>
          <w:b w:val="0"/>
          <w:bCs/>
          <w:i w:val="0"/>
          <w:iCs/>
          <w:kern w:val="2"/>
          <w:sz w:val="21"/>
          <w:szCs w:val="24"/>
          <w:lang w:val="en-US" w:eastAsia="zh-CN" w:bidi="ar-SA"/>
        </w:rPr>
        <w:t>RRC complete</w:t>
      </w:r>
      <w:r>
        <w:rPr>
          <w:rFonts w:hint="eastAsia"/>
          <w:b w:val="0"/>
          <w:bCs/>
          <w:i w:val="0"/>
          <w:iCs/>
          <w:lang w:val="en-US" w:eastAsia="zh-CN"/>
        </w:rPr>
        <w:t xml:space="preserve"> message to the MN</w:t>
      </w:r>
      <w:bookmarkStart w:id="3" w:name="_GoBack"/>
      <w:bookmarkEnd w:id="3"/>
      <w:r>
        <w:rPr>
          <w:rFonts w:hint="eastAsia"/>
          <w:b w:val="0"/>
          <w:bCs/>
          <w:i w:val="0"/>
          <w:iCs/>
          <w:lang w:val="en-US" w:eastAsia="zh-CN"/>
        </w:rPr>
        <w:t xml:space="preserve"> to inform that the message has been received, but not including an embedded RRC complete message to the SN. Upon execution of CPA or inter-SN CPC, the UE needs to provide the RRC complete message to both the MN and the (target) SN since the UE may apply the configuration generated by the MN and the configuration generated by the SN simultaneously. Thus, the UE should reply a RRC complete message to the MN including an embedded RRC complete</w:t>
      </w:r>
      <w:r>
        <w:rPr>
          <w:rFonts w:hint="eastAsia"/>
          <w:b w:val="0"/>
          <w:bCs/>
          <w:i/>
          <w:iCs w:val="0"/>
          <w:lang w:val="en-US" w:eastAsia="zh-CN"/>
        </w:rPr>
        <w:t xml:space="preserve"> </w:t>
      </w:r>
      <w:r>
        <w:rPr>
          <w:rFonts w:hint="eastAsia"/>
          <w:b w:val="0"/>
          <w:bCs/>
          <w:i w:val="0"/>
          <w:iCs/>
          <w:lang w:val="en-US" w:eastAsia="zh-CN"/>
        </w:rPr>
        <w:t xml:space="preserve">message to the target SN, and then MN informs the target SN. However, considering multiple candidate SNs can be configured for a UE, the MN may have no idea which candidate SN is selected by the UE. So the UE should also include the selected target PSCell information (e.g. </w:t>
      </w:r>
      <w:r>
        <w:rPr>
          <w:i/>
          <w:iCs/>
        </w:rPr>
        <w:t>condReconfigId</w:t>
      </w:r>
      <w:r>
        <w:rPr>
          <w:rFonts w:hint="eastAsia"/>
          <w:lang w:val="en-US" w:eastAsia="zh-CN"/>
        </w:rPr>
        <w:t>) in the RRC complete message to the MN</w:t>
      </w:r>
      <w:r>
        <w:rPr>
          <w:rFonts w:hint="eastAsia"/>
          <w:b w:val="0"/>
          <w:bCs/>
          <w:i w:val="0"/>
          <w:iCs/>
          <w:lang w:val="en-US" w:eastAsia="zh-CN"/>
        </w:rPr>
        <w:t xml:space="preserve">, and then the MN can inform the target SN according to the indicated PSCell information. </w:t>
      </w:r>
    </w:p>
    <w:p>
      <w:pPr>
        <w:rPr>
          <w:rFonts w:hint="eastAsia"/>
          <w:b/>
          <w:bCs/>
          <w:i w:val="0"/>
          <w:iCs/>
          <w:lang w:val="en-US" w:eastAsia="zh-CN"/>
        </w:rPr>
      </w:pPr>
      <w:r>
        <w:rPr>
          <w:rFonts w:hint="eastAsia"/>
          <w:b/>
          <w:bCs/>
        </w:rPr>
        <w:t xml:space="preserve">Proposal </w:t>
      </w:r>
      <w:r>
        <w:rPr>
          <w:rFonts w:hint="eastAsia"/>
          <w:b/>
          <w:bCs/>
          <w:lang w:val="en-US" w:eastAsia="zh-CN"/>
        </w:rPr>
        <w:t>3</w:t>
      </w:r>
      <w:r>
        <w:rPr>
          <w:rFonts w:hint="eastAsia"/>
          <w:b/>
          <w:bCs/>
        </w:rPr>
        <w:t>:</w:t>
      </w:r>
      <w:r>
        <w:rPr>
          <w:rFonts w:hint="eastAsia"/>
          <w:b/>
          <w:bCs/>
          <w:lang w:val="en-US" w:eastAsia="zh-CN"/>
        </w:rPr>
        <w:t xml:space="preserve"> Upon execution of CPA or inter-SN CPC, the UE </w:t>
      </w:r>
      <w:r>
        <w:rPr>
          <w:rFonts w:hint="eastAsia"/>
          <w:b/>
          <w:bCs/>
          <w:i w:val="0"/>
          <w:iCs/>
          <w:lang w:val="en-US" w:eastAsia="zh-CN"/>
        </w:rPr>
        <w:t>sends the RRC complete message to the MN including an embedded RRC complete</w:t>
      </w:r>
      <w:r>
        <w:rPr>
          <w:rFonts w:hint="eastAsia"/>
          <w:b/>
          <w:bCs/>
          <w:i/>
          <w:iCs w:val="0"/>
          <w:lang w:val="en-US" w:eastAsia="zh-CN"/>
        </w:rPr>
        <w:t xml:space="preserve"> </w:t>
      </w:r>
      <w:r>
        <w:rPr>
          <w:rFonts w:hint="eastAsia"/>
          <w:b/>
          <w:bCs/>
          <w:i w:val="0"/>
          <w:iCs/>
          <w:lang w:val="en-US" w:eastAsia="zh-CN"/>
        </w:rPr>
        <w:t xml:space="preserve">message to the target SN and the selected target PSCell information (e.g. </w:t>
      </w:r>
      <w:r>
        <w:rPr>
          <w:b/>
          <w:bCs/>
          <w:i/>
          <w:iCs/>
        </w:rPr>
        <w:t>condReconfigId</w:t>
      </w:r>
      <w:r>
        <w:rPr>
          <w:rFonts w:hint="eastAsia"/>
          <w:b/>
          <w:bCs/>
          <w:lang w:val="en-US" w:eastAsia="zh-CN"/>
        </w:rPr>
        <w:t>)</w:t>
      </w:r>
      <w:r>
        <w:rPr>
          <w:rFonts w:hint="eastAsia"/>
          <w:b/>
          <w:bCs/>
          <w:i w:val="0"/>
          <w:iCs/>
          <w:lang w:val="en-US" w:eastAsia="zh-CN"/>
        </w:rPr>
        <w:t>, and then the MN informs the target SN according to the indicated PSCell information.</w:t>
      </w:r>
    </w:p>
    <w:p>
      <w:pPr>
        <w:rPr>
          <w:rFonts w:hint="eastAsia"/>
          <w:b w:val="0"/>
          <w:bCs w:val="0"/>
          <w:i w:val="0"/>
          <w:iCs w:val="0"/>
          <w:u w:val="none"/>
          <w:lang w:val="en-US" w:eastAsia="zh-CN"/>
        </w:rPr>
      </w:pPr>
      <w:r>
        <w:rPr>
          <w:rFonts w:hint="eastAsia"/>
          <w:b w:val="0"/>
          <w:bCs w:val="0"/>
          <w:i w:val="0"/>
          <w:iCs w:val="0"/>
          <w:u w:val="none"/>
          <w:lang w:val="en-US" w:eastAsia="zh-CN"/>
        </w:rPr>
        <w:t xml:space="preserve">Regarding the CPAC execution condition, event A3/A5 used for CPC and event A4/B1 used for CPA are agreed as a baseline. However, for MN initiated inter-SN CPC, event A3 means that </w:t>
      </w:r>
      <w:r>
        <w:rPr>
          <w:rFonts w:hint="eastAsia"/>
          <w:lang w:val="en-US" w:eastAsia="zh-CN"/>
        </w:rPr>
        <w:t>n</w:t>
      </w:r>
      <w:r>
        <w:rPr>
          <w:lang w:val="en-GB"/>
        </w:rPr>
        <w:t>eighbour becomes offset better than</w:t>
      </w:r>
      <w:r>
        <w:rPr>
          <w:rFonts w:hint="eastAsia"/>
          <w:lang w:val="en-US" w:eastAsia="zh-CN"/>
        </w:rPr>
        <w:t xml:space="preserve"> PCell, while event A5 means P</w:t>
      </w:r>
      <w:r>
        <w:rPr>
          <w:lang w:val="en-GB"/>
        </w:rPr>
        <w:t>Cell becomes worse than threshold1 and neighbour becomes better than threshold2</w:t>
      </w:r>
      <w:r>
        <w:rPr>
          <w:rFonts w:hint="eastAsia"/>
          <w:lang w:val="en-US" w:eastAsia="zh-CN"/>
        </w:rPr>
        <w:t xml:space="preserve">, but the comparison between PCell and neighbour cell seems not intentional for SN mobility. Perhaps </w:t>
      </w:r>
      <w:r>
        <w:rPr>
          <w:rFonts w:hint="eastAsia"/>
          <w:b w:val="0"/>
          <w:bCs w:val="0"/>
          <w:i w:val="0"/>
          <w:iCs w:val="0"/>
          <w:u w:val="none"/>
          <w:lang w:val="en-US" w:eastAsia="zh-CN"/>
        </w:rPr>
        <w:t>additional execution condition can be considered for MN initiated inter-SN CPC. Similar to CPA, the execution condition for MN initiated inter-SN CPC is decided by the MN, so event A4/B1 used for CPA can be considered for MN initiated inter-SN CPC as well. The event A4 can be used to set PSCell change condition in NR-DC, while event B1 can be applied for PSCell change in (NG)EN-DC.</w:t>
      </w:r>
    </w:p>
    <w:p>
      <w:pPr>
        <w:rPr>
          <w:rFonts w:hint="eastAsia"/>
          <w:b/>
          <w:bCs/>
          <w:lang w:val="en-US" w:eastAsia="zh-CN"/>
        </w:rPr>
      </w:pPr>
      <w:r>
        <w:rPr>
          <w:rFonts w:hint="eastAsia"/>
          <w:b/>
          <w:bCs/>
        </w:rPr>
        <w:t xml:space="preserve">Proposal </w:t>
      </w:r>
      <w:r>
        <w:rPr>
          <w:rFonts w:hint="eastAsia"/>
          <w:b/>
          <w:bCs/>
          <w:lang w:val="en-US" w:eastAsia="zh-CN"/>
        </w:rPr>
        <w:t>4</w:t>
      </w:r>
      <w:r>
        <w:rPr>
          <w:rFonts w:hint="eastAsia"/>
          <w:b/>
          <w:bCs/>
        </w:rPr>
        <w:t xml:space="preserve">: </w:t>
      </w:r>
      <w:r>
        <w:rPr>
          <w:rFonts w:hint="eastAsia"/>
          <w:b/>
          <w:bCs/>
          <w:lang w:val="en-US" w:eastAsia="zh-CN"/>
        </w:rPr>
        <w:t>Event A4/B1 can be used for MN initiated inter-SN CPC.</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lang w:val="en-US" w:eastAsia="zh-CN"/>
        </w:rPr>
      </w:pPr>
      <w:r>
        <w:t>In this contribution,</w:t>
      </w:r>
      <w:r>
        <w:rPr>
          <w:rFonts w:hint="eastAsia"/>
        </w:rPr>
        <w:t xml:space="preserve"> we </w:t>
      </w:r>
      <w:r>
        <w:rPr>
          <w:rFonts w:hint="eastAsia"/>
          <w:lang w:val="en-US" w:eastAsia="zh-CN"/>
        </w:rPr>
        <w:t>discussed some open issues on CPAC with the following observations and proposals:</w:t>
      </w:r>
    </w:p>
    <w:p>
      <w:pPr>
        <w:rPr>
          <w:rFonts w:hint="eastAsia" w:ascii="Times New Roman" w:hAnsi="Times New Roman" w:cs="Times New Roman" w:eastAsiaTheme="minorEastAsia"/>
          <w:b w:val="0"/>
          <w:bCs/>
          <w:i w:val="0"/>
          <w:iCs/>
          <w:kern w:val="2"/>
          <w:sz w:val="21"/>
          <w:szCs w:val="24"/>
          <w:lang w:val="en-US" w:eastAsia="zh-CN" w:bidi="ar-SA"/>
        </w:rPr>
      </w:pPr>
      <w:r>
        <w:rPr>
          <w:rFonts w:hint="eastAsia"/>
          <w:b/>
          <w:bCs/>
          <w:i/>
          <w:iCs/>
        </w:rPr>
        <w:t xml:space="preserve">Observation 1: For </w:t>
      </w:r>
      <w:r>
        <w:rPr>
          <w:rFonts w:hint="eastAsia"/>
          <w:b/>
          <w:bCs/>
          <w:i/>
          <w:iCs/>
          <w:lang w:val="en-US" w:eastAsia="zh-CN"/>
        </w:rPr>
        <w:t>CPA and inter-SN CPC</w:t>
      </w:r>
      <w:r>
        <w:rPr>
          <w:rFonts w:hint="eastAsia"/>
          <w:b/>
          <w:bCs/>
          <w:i/>
          <w:iCs/>
        </w:rPr>
        <w:t xml:space="preserve">, since both the new configuration on </w:t>
      </w:r>
      <w:r>
        <w:rPr>
          <w:rFonts w:hint="eastAsia"/>
          <w:b/>
          <w:bCs/>
          <w:i/>
          <w:iCs/>
          <w:lang w:val="en-US" w:eastAsia="zh-CN"/>
        </w:rPr>
        <w:t xml:space="preserve">the </w:t>
      </w:r>
      <w:r>
        <w:rPr>
          <w:rFonts w:hint="eastAsia"/>
          <w:b/>
          <w:bCs/>
          <w:i/>
          <w:iCs/>
        </w:rPr>
        <w:t xml:space="preserve">MN and </w:t>
      </w:r>
      <w:r>
        <w:rPr>
          <w:rFonts w:hint="eastAsia"/>
          <w:b/>
          <w:bCs/>
          <w:i/>
          <w:iCs/>
          <w:lang w:val="en-US" w:eastAsia="zh-CN"/>
        </w:rPr>
        <w:t xml:space="preserve">the </w:t>
      </w:r>
      <w:r>
        <w:rPr>
          <w:rFonts w:hint="eastAsia"/>
          <w:b/>
          <w:bCs/>
          <w:i/>
          <w:iCs/>
        </w:rPr>
        <w:t xml:space="preserve">SN are required, to ensure the simultaneous activation of configuration </w:t>
      </w:r>
      <w:r>
        <w:rPr>
          <w:rFonts w:hint="eastAsia"/>
          <w:b/>
          <w:bCs/>
          <w:i/>
          <w:iCs/>
          <w:lang w:val="en-US" w:eastAsia="zh-CN"/>
        </w:rPr>
        <w:t>from</w:t>
      </w:r>
      <w:r>
        <w:rPr>
          <w:rFonts w:hint="eastAsia"/>
          <w:b/>
          <w:bCs/>
          <w:i/>
          <w:iCs/>
        </w:rPr>
        <w:t xml:space="preserve"> both </w:t>
      </w:r>
      <w:r>
        <w:rPr>
          <w:rFonts w:hint="eastAsia"/>
          <w:b/>
          <w:bCs/>
          <w:i/>
          <w:iCs/>
          <w:lang w:val="en-US" w:eastAsia="zh-CN"/>
        </w:rPr>
        <w:t xml:space="preserve">the </w:t>
      </w:r>
      <w:r>
        <w:rPr>
          <w:rFonts w:hint="eastAsia"/>
          <w:b/>
          <w:bCs/>
          <w:i/>
          <w:iCs/>
        </w:rPr>
        <w:t xml:space="preserve">MN and </w:t>
      </w:r>
      <w:r>
        <w:rPr>
          <w:rFonts w:hint="eastAsia"/>
          <w:b/>
          <w:bCs/>
          <w:i/>
          <w:iCs/>
          <w:lang w:val="en-US" w:eastAsia="zh-CN"/>
        </w:rPr>
        <w:t xml:space="preserve">the </w:t>
      </w:r>
      <w:r>
        <w:rPr>
          <w:rFonts w:hint="eastAsia"/>
          <w:b/>
          <w:bCs/>
          <w:i/>
          <w:iCs/>
        </w:rPr>
        <w:t>SN, the target RRC reconfiguration container for PSCell addition</w:t>
      </w:r>
      <w:r>
        <w:rPr>
          <w:rFonts w:hint="eastAsia"/>
          <w:b/>
          <w:bCs/>
          <w:i/>
          <w:iCs/>
          <w:lang w:val="en-US" w:eastAsia="zh-CN"/>
        </w:rPr>
        <w:t>/change</w:t>
      </w:r>
      <w:r>
        <w:rPr>
          <w:rFonts w:hint="eastAsia"/>
          <w:b/>
          <w:bCs/>
          <w:i/>
          <w:iCs/>
        </w:rPr>
        <w:t xml:space="preserve"> shall be generated by </w:t>
      </w:r>
      <w:r>
        <w:rPr>
          <w:rFonts w:hint="eastAsia"/>
          <w:b/>
          <w:bCs/>
          <w:i/>
          <w:iCs/>
          <w:lang w:val="en-US" w:eastAsia="zh-CN"/>
        </w:rPr>
        <w:t xml:space="preserve">the </w:t>
      </w:r>
      <w:r>
        <w:rPr>
          <w:rFonts w:hint="eastAsia"/>
          <w:b/>
          <w:bCs/>
          <w:i/>
          <w:iCs/>
        </w:rPr>
        <w:t xml:space="preserve">MN, in which both the configuration generated by MN and </w:t>
      </w:r>
      <w:r>
        <w:rPr>
          <w:rFonts w:hint="eastAsia"/>
          <w:b/>
          <w:bCs/>
          <w:i/>
          <w:iCs/>
          <w:lang w:val="en-US" w:eastAsia="zh-CN"/>
        </w:rPr>
        <w:t xml:space="preserve">the </w:t>
      </w:r>
      <w:r>
        <w:rPr>
          <w:rFonts w:hint="eastAsia"/>
          <w:b/>
          <w:bCs/>
          <w:i/>
          <w:iCs/>
        </w:rPr>
        <w:t>configuration generated by SN will be included.</w:t>
      </w:r>
    </w:p>
    <w:p>
      <w:pPr>
        <w:rPr>
          <w:rFonts w:hint="default" w:eastAsiaTheme="minorEastAsia"/>
          <w:b/>
          <w:bCs/>
          <w:lang w:val="en-US" w:eastAsia="zh-CN"/>
        </w:rPr>
      </w:pPr>
      <w:r>
        <w:rPr>
          <w:rFonts w:hint="eastAsia"/>
          <w:b/>
          <w:bCs/>
        </w:rPr>
        <w:t xml:space="preserve">Proposal </w:t>
      </w:r>
      <w:r>
        <w:rPr>
          <w:rFonts w:hint="eastAsia"/>
          <w:b/>
          <w:bCs/>
          <w:lang w:val="en-US" w:eastAsia="zh-CN"/>
        </w:rPr>
        <w:t>1</w:t>
      </w:r>
      <w:r>
        <w:rPr>
          <w:rFonts w:hint="eastAsia"/>
          <w:b/>
          <w:bCs/>
        </w:rPr>
        <w:t xml:space="preserve">: </w:t>
      </w:r>
      <w:r>
        <w:rPr>
          <w:rFonts w:hint="eastAsia"/>
          <w:b/>
          <w:bCs/>
          <w:lang w:val="en-US" w:eastAsia="zh-CN"/>
        </w:rPr>
        <w:t>In CPA and inter-SN CPC</w:t>
      </w:r>
      <w:r>
        <w:rPr>
          <w:rFonts w:hint="eastAsia"/>
          <w:b/>
          <w:bCs/>
        </w:rPr>
        <w:t xml:space="preserve">, </w:t>
      </w:r>
      <w:r>
        <w:rPr>
          <w:rFonts w:hint="eastAsia"/>
          <w:b/>
          <w:bCs/>
          <w:lang w:val="en-US" w:eastAsia="zh-CN"/>
        </w:rPr>
        <w:t>the MN generates and transmits the final RRC message to the UE, including execution condition and candidate PSCell configuration. And e</w:t>
      </w:r>
      <w:r>
        <w:rPr>
          <w:rFonts w:hint="eastAsia"/>
          <w:b/>
          <w:bCs/>
        </w:rPr>
        <w:t xml:space="preserve">ach candidate </w:t>
      </w:r>
      <w:r>
        <w:rPr>
          <w:rFonts w:hint="eastAsia"/>
          <w:b/>
          <w:bCs/>
          <w:lang w:val="en-US" w:eastAsia="zh-CN"/>
        </w:rPr>
        <w:t>PSCell configuration from both the MN side and the SN side</w:t>
      </w:r>
      <w:r>
        <w:rPr>
          <w:rFonts w:hint="eastAsia"/>
          <w:b/>
          <w:bCs/>
        </w:rPr>
        <w:t xml:space="preserve"> will be configured with a RRC container</w:t>
      </w:r>
      <w:r>
        <w:rPr>
          <w:rFonts w:hint="eastAsia"/>
          <w:b/>
          <w:bCs/>
          <w:lang w:val="en-US" w:eastAsia="zh-CN"/>
        </w:rPr>
        <w:t xml:space="preserve"> containing RRC reconfiguration message generated by the MN, in which the </w:t>
      </w:r>
      <w:r>
        <w:rPr>
          <w:rFonts w:hint="eastAsia"/>
          <w:b/>
          <w:bCs/>
          <w:i w:val="0"/>
          <w:iCs w:val="0"/>
          <w:lang w:val="en-US" w:eastAsia="zh-CN"/>
        </w:rPr>
        <w:t>RRC reconfiguration</w:t>
      </w:r>
      <w:r>
        <w:rPr>
          <w:rFonts w:hint="eastAsia"/>
          <w:b/>
          <w:bCs/>
          <w:lang w:val="en-US" w:eastAsia="zh-CN"/>
        </w:rPr>
        <w:t xml:space="preserve"> message generated by the candidate SN is encapsulated in a container (e.g. </w:t>
      </w:r>
      <w:r>
        <w:rPr>
          <w:rFonts w:hint="default" w:ascii="Times New Roman" w:hAnsi="Times New Roman" w:cs="Times New Roman"/>
          <w:b/>
          <w:bCs/>
          <w:i/>
          <w:iCs/>
          <w:lang w:val="en-US" w:eastAsia="zh-CN"/>
        </w:rPr>
        <w:t>mrdc-SecondaryCellGroup</w:t>
      </w:r>
      <w:r>
        <w:rPr>
          <w:rFonts w:hint="eastAsia" w:ascii="Times New Roman" w:hAnsi="Times New Roman" w:cs="Times New Roman"/>
          <w:b/>
          <w:bCs/>
          <w:i/>
          <w:iCs/>
          <w:lang w:val="en-US" w:eastAsia="zh-CN"/>
        </w:rPr>
        <w:t>/nr-SecondaryCellGroupConfig</w:t>
      </w:r>
      <w:r>
        <w:rPr>
          <w:rFonts w:hint="eastAsia"/>
          <w:b/>
          <w:bCs/>
          <w:lang w:val="en-US" w:eastAsia="zh-CN"/>
        </w:rPr>
        <w:t>).</w:t>
      </w:r>
    </w:p>
    <w:p>
      <w:pPr>
        <w:widowControl w:val="0"/>
        <w:numPr>
          <w:ilvl w:val="0"/>
          <w:numId w:val="0"/>
        </w:numPr>
        <w:ind w:leftChars="0"/>
        <w:jc w:val="both"/>
        <w:rPr>
          <w:rFonts w:hint="eastAsia"/>
          <w:b/>
          <w:bCs w:val="0"/>
          <w:i w:val="0"/>
          <w:iCs/>
          <w:lang w:val="en-US" w:eastAsia="zh-CN"/>
        </w:rPr>
      </w:pPr>
      <w:r>
        <w:rPr>
          <w:rFonts w:hint="eastAsia"/>
          <w:b/>
          <w:bCs w:val="0"/>
          <w:i w:val="0"/>
          <w:iCs/>
          <w:lang w:val="en-US" w:eastAsia="zh-CN"/>
        </w:rPr>
        <w:t>Proposal 2: In SN initiated inter-SN CPC, for each candidate PSCell, the MN includes the corresponding execution condition set by the source SN as a transparent container into the final RRC message.</w:t>
      </w:r>
    </w:p>
    <w:p>
      <w:pPr>
        <w:rPr>
          <w:rFonts w:hint="eastAsia"/>
          <w:b/>
          <w:bCs/>
          <w:i w:val="0"/>
          <w:iCs/>
          <w:lang w:val="en-US" w:eastAsia="zh-CN"/>
        </w:rPr>
      </w:pPr>
      <w:r>
        <w:rPr>
          <w:rFonts w:hint="eastAsia"/>
          <w:b/>
          <w:bCs/>
        </w:rPr>
        <w:t xml:space="preserve">Proposal </w:t>
      </w:r>
      <w:r>
        <w:rPr>
          <w:rFonts w:hint="eastAsia"/>
          <w:b/>
          <w:bCs/>
          <w:lang w:val="en-US" w:eastAsia="zh-CN"/>
        </w:rPr>
        <w:t>3</w:t>
      </w:r>
      <w:r>
        <w:rPr>
          <w:rFonts w:hint="eastAsia"/>
          <w:b/>
          <w:bCs/>
        </w:rPr>
        <w:t>:</w:t>
      </w:r>
      <w:r>
        <w:rPr>
          <w:rFonts w:hint="eastAsia"/>
          <w:b/>
          <w:bCs/>
          <w:lang w:val="en-US" w:eastAsia="zh-CN"/>
        </w:rPr>
        <w:t xml:space="preserve"> Upon execution of CPA or inter-SN CPC, the UE </w:t>
      </w:r>
      <w:r>
        <w:rPr>
          <w:rFonts w:hint="eastAsia"/>
          <w:b/>
          <w:bCs/>
          <w:i w:val="0"/>
          <w:iCs/>
          <w:lang w:val="en-US" w:eastAsia="zh-CN"/>
        </w:rPr>
        <w:t>sends the RRC complete message to the MN including an embedded RRC complete</w:t>
      </w:r>
      <w:r>
        <w:rPr>
          <w:rFonts w:hint="eastAsia"/>
          <w:b/>
          <w:bCs/>
          <w:i/>
          <w:iCs w:val="0"/>
          <w:lang w:val="en-US" w:eastAsia="zh-CN"/>
        </w:rPr>
        <w:t xml:space="preserve"> </w:t>
      </w:r>
      <w:r>
        <w:rPr>
          <w:rFonts w:hint="eastAsia"/>
          <w:b/>
          <w:bCs/>
          <w:i w:val="0"/>
          <w:iCs/>
          <w:lang w:val="en-US" w:eastAsia="zh-CN"/>
        </w:rPr>
        <w:t xml:space="preserve">message to the target SN and the selected target PSCell information (e.g. </w:t>
      </w:r>
      <w:r>
        <w:rPr>
          <w:b/>
          <w:bCs/>
          <w:i/>
          <w:iCs/>
        </w:rPr>
        <w:t>condReconfigId</w:t>
      </w:r>
      <w:r>
        <w:rPr>
          <w:rFonts w:hint="eastAsia"/>
          <w:b/>
          <w:bCs/>
          <w:lang w:val="en-US" w:eastAsia="zh-CN"/>
        </w:rPr>
        <w:t>)</w:t>
      </w:r>
      <w:r>
        <w:rPr>
          <w:rFonts w:hint="eastAsia"/>
          <w:b/>
          <w:bCs/>
          <w:i w:val="0"/>
          <w:iCs/>
          <w:lang w:val="en-US" w:eastAsia="zh-CN"/>
        </w:rPr>
        <w:t>, and then the MN informs the target SN according to the indicated PSCell information.</w:t>
      </w:r>
    </w:p>
    <w:p>
      <w:pPr>
        <w:rPr>
          <w:rFonts w:hint="eastAsia"/>
          <w:b/>
          <w:bCs/>
          <w:lang w:val="en-US" w:eastAsia="zh-CN"/>
        </w:rPr>
      </w:pPr>
      <w:r>
        <w:rPr>
          <w:rFonts w:hint="eastAsia"/>
          <w:b/>
          <w:bCs/>
        </w:rPr>
        <w:t xml:space="preserve">Proposal </w:t>
      </w:r>
      <w:r>
        <w:rPr>
          <w:rFonts w:hint="eastAsia"/>
          <w:b/>
          <w:bCs/>
          <w:lang w:val="en-US" w:eastAsia="zh-CN"/>
        </w:rPr>
        <w:t>4</w:t>
      </w:r>
      <w:r>
        <w:rPr>
          <w:rFonts w:hint="eastAsia"/>
          <w:b/>
          <w:bCs/>
        </w:rPr>
        <w:t xml:space="preserve">: </w:t>
      </w:r>
      <w:r>
        <w:rPr>
          <w:rFonts w:hint="eastAsia"/>
          <w:b/>
          <w:bCs/>
          <w:lang w:val="en-US" w:eastAsia="zh-CN"/>
        </w:rPr>
        <w:t>Event A4/B1 can be used for MN initiated inter-SN CPC.</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5"/>
        </w:numPr>
        <w:rPr>
          <w:rFonts w:hint="default"/>
          <w:b w:val="0"/>
          <w:bCs w:val="0"/>
          <w:lang w:val="en-US"/>
        </w:rPr>
      </w:pPr>
      <w:r>
        <w:rPr>
          <w:rFonts w:hint="eastAsia"/>
          <w:b w:val="0"/>
          <w:bCs w:val="0"/>
          <w:lang w:val="en-US" w:eastAsia="zh-CN"/>
        </w:rPr>
        <w:t>RAN2#111e chair notes</w:t>
      </w:r>
    </w:p>
    <w:p>
      <w:pPr>
        <w:numPr>
          <w:ilvl w:val="0"/>
          <w:numId w:val="5"/>
        </w:numPr>
        <w:rPr>
          <w:rFonts w:hint="default"/>
          <w:b w:val="0"/>
          <w:bCs w:val="0"/>
          <w:lang w:val="en-US" w:eastAsia="zh-CN"/>
        </w:rPr>
      </w:pPr>
      <w:r>
        <w:rPr>
          <w:rFonts w:hint="eastAsia"/>
          <w:b w:val="0"/>
          <w:bCs w:val="0"/>
          <w:lang w:val="en-US" w:eastAsia="zh-CN"/>
        </w:rPr>
        <w:t>R2-200xxxx  [Post111-e][920][eDCCA] Conditional PSCell Change and Addition (CATT)  CATT</w:t>
      </w:r>
    </w:p>
    <w:sectPr>
      <w:headerReference r:id="rId3" w:type="default"/>
      <w:footerReference r:id="rId4" w:type="default"/>
      <w:footerReference r:id="rId5" w:type="even"/>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86"/>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STFangsong">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D3D26"/>
    <w:multiLevelType w:val="singleLevel"/>
    <w:tmpl w:val="AB3D3D26"/>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6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EE78D1"/>
    <w:rsid w:val="02017286"/>
    <w:rsid w:val="02115596"/>
    <w:rsid w:val="0212463B"/>
    <w:rsid w:val="02142423"/>
    <w:rsid w:val="02145888"/>
    <w:rsid w:val="021627D8"/>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4523A"/>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930DC4"/>
    <w:rsid w:val="0EA41BE0"/>
    <w:rsid w:val="0EAD2320"/>
    <w:rsid w:val="0EB12EAE"/>
    <w:rsid w:val="0EC509E4"/>
    <w:rsid w:val="0ECC22F2"/>
    <w:rsid w:val="0ED4677A"/>
    <w:rsid w:val="0ED64E1A"/>
    <w:rsid w:val="0EDC06F9"/>
    <w:rsid w:val="0EE1071D"/>
    <w:rsid w:val="0EF05D44"/>
    <w:rsid w:val="0EFD6649"/>
    <w:rsid w:val="0EFF4DCA"/>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2810CA"/>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236E7B"/>
    <w:rsid w:val="212D6E70"/>
    <w:rsid w:val="21325170"/>
    <w:rsid w:val="21383079"/>
    <w:rsid w:val="213C4E2F"/>
    <w:rsid w:val="213D0E8C"/>
    <w:rsid w:val="2140662B"/>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328A2"/>
    <w:rsid w:val="27746913"/>
    <w:rsid w:val="2775446F"/>
    <w:rsid w:val="278B2D28"/>
    <w:rsid w:val="27947308"/>
    <w:rsid w:val="2796033D"/>
    <w:rsid w:val="27B60AFD"/>
    <w:rsid w:val="27B914E9"/>
    <w:rsid w:val="27C435E3"/>
    <w:rsid w:val="27CD2E52"/>
    <w:rsid w:val="27D47C66"/>
    <w:rsid w:val="27E951EF"/>
    <w:rsid w:val="27EF2A5E"/>
    <w:rsid w:val="27F2325D"/>
    <w:rsid w:val="27F97D3B"/>
    <w:rsid w:val="28014AB4"/>
    <w:rsid w:val="28043BB2"/>
    <w:rsid w:val="28065FAE"/>
    <w:rsid w:val="280B5681"/>
    <w:rsid w:val="280D46CF"/>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D70417"/>
    <w:rsid w:val="2DDB0F96"/>
    <w:rsid w:val="2DE35418"/>
    <w:rsid w:val="2E0D4E92"/>
    <w:rsid w:val="2E101687"/>
    <w:rsid w:val="2E126562"/>
    <w:rsid w:val="2E1B62A5"/>
    <w:rsid w:val="2E1D58DE"/>
    <w:rsid w:val="2E32124B"/>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A557A7"/>
    <w:rsid w:val="2FBD3859"/>
    <w:rsid w:val="2FC40827"/>
    <w:rsid w:val="2FCC6278"/>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E06A6B"/>
    <w:rsid w:val="34EA0F65"/>
    <w:rsid w:val="34EF6036"/>
    <w:rsid w:val="34F2011B"/>
    <w:rsid w:val="34F73B82"/>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5C2DD4"/>
    <w:rsid w:val="43606EE8"/>
    <w:rsid w:val="436D6C7E"/>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9D3251"/>
    <w:rsid w:val="45A1725C"/>
    <w:rsid w:val="45A34A00"/>
    <w:rsid w:val="45B33A3B"/>
    <w:rsid w:val="45C20D69"/>
    <w:rsid w:val="45D077D4"/>
    <w:rsid w:val="45DE6754"/>
    <w:rsid w:val="45EF1E60"/>
    <w:rsid w:val="45F65F21"/>
    <w:rsid w:val="45F877F1"/>
    <w:rsid w:val="46043836"/>
    <w:rsid w:val="46163A58"/>
    <w:rsid w:val="461C30A3"/>
    <w:rsid w:val="461F2208"/>
    <w:rsid w:val="462253D7"/>
    <w:rsid w:val="462312F7"/>
    <w:rsid w:val="463416CE"/>
    <w:rsid w:val="4638223A"/>
    <w:rsid w:val="4641025F"/>
    <w:rsid w:val="464B7611"/>
    <w:rsid w:val="46555121"/>
    <w:rsid w:val="466E0F0B"/>
    <w:rsid w:val="4673382E"/>
    <w:rsid w:val="4675674D"/>
    <w:rsid w:val="468D1FB1"/>
    <w:rsid w:val="468F6773"/>
    <w:rsid w:val="469A330F"/>
    <w:rsid w:val="469F56A5"/>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4C2BA0"/>
    <w:rsid w:val="5D604556"/>
    <w:rsid w:val="5DA03427"/>
    <w:rsid w:val="5DA12B26"/>
    <w:rsid w:val="5DA52D6F"/>
    <w:rsid w:val="5DBE365D"/>
    <w:rsid w:val="5DF242AA"/>
    <w:rsid w:val="5DF27D5A"/>
    <w:rsid w:val="5DF90388"/>
    <w:rsid w:val="5E033F14"/>
    <w:rsid w:val="5E040059"/>
    <w:rsid w:val="5E084C7B"/>
    <w:rsid w:val="5E0914A4"/>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C57C91"/>
    <w:rsid w:val="5FCE245F"/>
    <w:rsid w:val="5FD32219"/>
    <w:rsid w:val="5FDC1B9B"/>
    <w:rsid w:val="5FF50B7C"/>
    <w:rsid w:val="5FF74A8C"/>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C75B92"/>
    <w:rsid w:val="63CA29B9"/>
    <w:rsid w:val="63D3253C"/>
    <w:rsid w:val="63DB6970"/>
    <w:rsid w:val="63EC6C3A"/>
    <w:rsid w:val="63F34373"/>
    <w:rsid w:val="63F60575"/>
    <w:rsid w:val="63F77FB1"/>
    <w:rsid w:val="63F97961"/>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F785C"/>
    <w:rsid w:val="68570DC2"/>
    <w:rsid w:val="6865768E"/>
    <w:rsid w:val="6868422B"/>
    <w:rsid w:val="68756660"/>
    <w:rsid w:val="687B65AE"/>
    <w:rsid w:val="68847A53"/>
    <w:rsid w:val="68910854"/>
    <w:rsid w:val="68A208F6"/>
    <w:rsid w:val="68A864AF"/>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917D5"/>
    <w:rsid w:val="79F866D7"/>
    <w:rsid w:val="7A0D5030"/>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C1687"/>
    <w:rsid w:val="7DDC5561"/>
    <w:rsid w:val="7DE53A1D"/>
    <w:rsid w:val="7DE805EC"/>
    <w:rsid w:val="7DEE1D9E"/>
    <w:rsid w:val="7DFB2768"/>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1"/>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9</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2020-10-23T02:59:36Z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